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40" w:rsidRPr="00220731" w:rsidRDefault="009F4540" w:rsidP="009F4540">
      <w:pPr>
        <w:pStyle w:val="Default"/>
        <w:jc w:val="center"/>
        <w:rPr>
          <w:rFonts w:asciiTheme="minorHAnsi" w:hAnsiTheme="minorHAnsi" w:cs="Times New Roman"/>
        </w:rPr>
      </w:pPr>
      <w:r w:rsidRPr="00220731">
        <w:rPr>
          <w:rFonts w:asciiTheme="minorHAnsi" w:hAnsiTheme="minorHAnsi" w:cs="Times New Roman"/>
          <w:noProof/>
        </w:rPr>
        <w:drawing>
          <wp:inline distT="0" distB="0" distL="0" distR="0">
            <wp:extent cx="3977640" cy="6914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Department of Transportation - New Green.emf"/>
                    <pic:cNvPicPr/>
                  </pic:nvPicPr>
                  <pic:blipFill>
                    <a:blip r:embed="rId10">
                      <a:extLst>
                        <a:ext uri="{28A0092B-C50C-407E-A947-70E740481C1C}">
                          <a14:useLocalDpi xmlns:a14="http://schemas.microsoft.com/office/drawing/2010/main" val="0"/>
                        </a:ext>
                      </a:extLst>
                    </a:blip>
                    <a:stretch>
                      <a:fillRect/>
                    </a:stretch>
                  </pic:blipFill>
                  <pic:spPr>
                    <a:xfrm>
                      <a:off x="0" y="0"/>
                      <a:ext cx="4032231" cy="700901"/>
                    </a:xfrm>
                    <a:prstGeom prst="rect">
                      <a:avLst/>
                    </a:prstGeom>
                  </pic:spPr>
                </pic:pic>
              </a:graphicData>
            </a:graphic>
          </wp:inline>
        </w:drawing>
      </w:r>
    </w:p>
    <w:p w:rsidR="009F4540" w:rsidRPr="00220731" w:rsidRDefault="009F4540" w:rsidP="009F4540">
      <w:pPr>
        <w:pStyle w:val="Default"/>
        <w:rPr>
          <w:rFonts w:asciiTheme="minorHAnsi" w:hAnsiTheme="minorHAnsi" w:cs="Times New Roman"/>
        </w:rPr>
      </w:pPr>
    </w:p>
    <w:p w:rsidR="009F4540" w:rsidRPr="00220731" w:rsidRDefault="00220731" w:rsidP="009F4540">
      <w:pPr>
        <w:pStyle w:val="Default"/>
        <w:jc w:val="center"/>
        <w:rPr>
          <w:rFonts w:asciiTheme="minorHAnsi" w:hAnsiTheme="minorHAnsi" w:cs="Times New Roman"/>
          <w:sz w:val="32"/>
          <w:szCs w:val="32"/>
        </w:rPr>
      </w:pPr>
      <w:r>
        <w:rPr>
          <w:rFonts w:asciiTheme="minorHAnsi" w:hAnsiTheme="minorHAnsi" w:cs="Times New Roman"/>
          <w:b/>
          <w:bCs/>
          <w:sz w:val="32"/>
          <w:szCs w:val="32"/>
        </w:rPr>
        <w:t>2017</w:t>
      </w:r>
      <w:r w:rsidR="009F4540" w:rsidRPr="00220731">
        <w:rPr>
          <w:rFonts w:asciiTheme="minorHAnsi" w:hAnsiTheme="minorHAnsi" w:cs="Times New Roman"/>
          <w:b/>
          <w:bCs/>
          <w:sz w:val="32"/>
          <w:szCs w:val="32"/>
        </w:rPr>
        <w:t xml:space="preserve"> National Summer Transportation Institute </w:t>
      </w:r>
      <w:r w:rsidR="009F4540" w:rsidRPr="00220731">
        <w:rPr>
          <w:rFonts w:asciiTheme="minorHAnsi" w:hAnsiTheme="minorHAnsi" w:cs="Times New Roman"/>
          <w:b/>
          <w:bCs/>
          <w:sz w:val="32"/>
          <w:szCs w:val="32"/>
        </w:rPr>
        <w:br/>
        <w:t>Application Checklist and Evaluation Criteria</w:t>
      </w:r>
    </w:p>
    <w:p w:rsidR="009F4540" w:rsidRPr="00220731" w:rsidRDefault="009F4540" w:rsidP="009F4540">
      <w:pPr>
        <w:pStyle w:val="Default"/>
        <w:rPr>
          <w:rFonts w:asciiTheme="minorHAnsi" w:hAnsiTheme="minorHAnsi" w:cs="Times New Roman"/>
          <w:sz w:val="16"/>
          <w:szCs w:val="16"/>
        </w:rPr>
      </w:pPr>
    </w:p>
    <w:p w:rsidR="009F4540" w:rsidRPr="00220731" w:rsidRDefault="009F4540" w:rsidP="009F4540">
      <w:pPr>
        <w:pStyle w:val="Default"/>
        <w:rPr>
          <w:rFonts w:asciiTheme="minorHAnsi" w:hAnsiTheme="minorHAnsi" w:cs="Times New Roman"/>
          <w:iCs/>
          <w:sz w:val="23"/>
          <w:szCs w:val="23"/>
        </w:rPr>
      </w:pPr>
      <w:r w:rsidRPr="00220731">
        <w:rPr>
          <w:rFonts w:asciiTheme="minorHAnsi" w:hAnsiTheme="minorHAnsi" w:cs="Times New Roman"/>
          <w:iCs/>
          <w:sz w:val="23"/>
          <w:szCs w:val="23"/>
        </w:rPr>
        <w:t>The purpose of this checklist is to ensure the standardized submission of</w:t>
      </w:r>
      <w:r w:rsidR="005B7E52" w:rsidRPr="00220731">
        <w:rPr>
          <w:rFonts w:asciiTheme="minorHAnsi" w:hAnsiTheme="minorHAnsi" w:cs="Times New Roman"/>
          <w:iCs/>
          <w:sz w:val="23"/>
          <w:szCs w:val="23"/>
        </w:rPr>
        <w:t xml:space="preserve"> the</w:t>
      </w:r>
      <w:r w:rsidRPr="00220731">
        <w:rPr>
          <w:rFonts w:asciiTheme="minorHAnsi" w:hAnsiTheme="minorHAnsi" w:cs="Times New Roman"/>
          <w:iCs/>
          <w:sz w:val="23"/>
          <w:szCs w:val="23"/>
        </w:rPr>
        <w:t xml:space="preserve"> Statement of Work Applications and </w:t>
      </w:r>
      <w:r w:rsidR="005B7E52" w:rsidRPr="00220731">
        <w:rPr>
          <w:rFonts w:asciiTheme="minorHAnsi" w:hAnsiTheme="minorHAnsi" w:cs="Times New Roman"/>
          <w:iCs/>
          <w:sz w:val="23"/>
          <w:szCs w:val="23"/>
        </w:rPr>
        <w:t xml:space="preserve">the </w:t>
      </w:r>
      <w:r w:rsidRPr="00220731">
        <w:rPr>
          <w:rFonts w:asciiTheme="minorHAnsi" w:hAnsiTheme="minorHAnsi" w:cs="Times New Roman"/>
          <w:iCs/>
          <w:sz w:val="23"/>
          <w:szCs w:val="23"/>
        </w:rPr>
        <w:t xml:space="preserve">Proposal Application from </w:t>
      </w:r>
      <w:r w:rsidR="005B7E52" w:rsidRPr="00220731">
        <w:rPr>
          <w:rFonts w:asciiTheme="minorHAnsi" w:hAnsiTheme="minorHAnsi" w:cs="Times New Roman"/>
          <w:iCs/>
          <w:sz w:val="23"/>
          <w:szCs w:val="23"/>
        </w:rPr>
        <w:t>a</w:t>
      </w:r>
      <w:r w:rsidRPr="00220731">
        <w:rPr>
          <w:rFonts w:asciiTheme="minorHAnsi" w:hAnsiTheme="minorHAnsi" w:cs="Times New Roman"/>
          <w:iCs/>
          <w:sz w:val="23"/>
          <w:szCs w:val="23"/>
        </w:rPr>
        <w:t xml:space="preserve">cademic institutions that are interested in serving as host sites for </w:t>
      </w:r>
      <w:r w:rsidR="005B7E52" w:rsidRPr="00220731">
        <w:rPr>
          <w:rFonts w:asciiTheme="minorHAnsi" w:hAnsiTheme="minorHAnsi" w:cs="Times New Roman"/>
          <w:iCs/>
          <w:sz w:val="23"/>
          <w:szCs w:val="23"/>
        </w:rPr>
        <w:t xml:space="preserve">the </w:t>
      </w:r>
      <w:r w:rsidRPr="00220731">
        <w:rPr>
          <w:rFonts w:asciiTheme="minorHAnsi" w:hAnsiTheme="minorHAnsi" w:cs="Times New Roman"/>
          <w:iCs/>
          <w:sz w:val="23"/>
          <w:szCs w:val="23"/>
        </w:rPr>
        <w:t xml:space="preserve">NSTI. </w:t>
      </w:r>
    </w:p>
    <w:p w:rsidR="00C77AB5" w:rsidRPr="00220731" w:rsidRDefault="00C77AB5" w:rsidP="009F4540">
      <w:pPr>
        <w:pStyle w:val="Default"/>
        <w:rPr>
          <w:rFonts w:asciiTheme="minorHAnsi" w:hAnsiTheme="minorHAnsi" w:cs="Times New Roman"/>
          <w:sz w:val="23"/>
          <w:szCs w:val="23"/>
        </w:rPr>
      </w:pPr>
    </w:p>
    <w:p w:rsidR="009F4540" w:rsidRPr="00220731" w:rsidRDefault="009F4540" w:rsidP="009F4540">
      <w:pPr>
        <w:pStyle w:val="Default"/>
        <w:rPr>
          <w:rFonts w:asciiTheme="minorHAnsi" w:hAnsiTheme="minorHAnsi" w:cs="Times New Roman"/>
          <w:sz w:val="23"/>
          <w:szCs w:val="23"/>
        </w:rPr>
      </w:pPr>
      <w:r w:rsidRPr="00220731">
        <w:rPr>
          <w:rFonts w:asciiTheme="minorHAnsi" w:hAnsiTheme="minorHAnsi" w:cs="Times New Roman"/>
          <w:sz w:val="23"/>
          <w:szCs w:val="23"/>
        </w:rPr>
        <w:t xml:space="preserve">1. Please make sure your application is “responsive”. </w:t>
      </w:r>
    </w:p>
    <w:p w:rsidR="009F4540" w:rsidRPr="00220731" w:rsidRDefault="009F4540" w:rsidP="009F4540">
      <w:pPr>
        <w:pStyle w:val="Default"/>
        <w:rPr>
          <w:rFonts w:asciiTheme="minorHAnsi" w:hAnsiTheme="minorHAnsi" w:cs="Times New Roman"/>
          <w:sz w:val="23"/>
          <w:szCs w:val="23"/>
        </w:rPr>
      </w:pPr>
    </w:p>
    <w:p w:rsidR="009F4540" w:rsidRPr="00220731" w:rsidRDefault="009F4540" w:rsidP="00C77AB5">
      <w:pPr>
        <w:pStyle w:val="Default"/>
        <w:numPr>
          <w:ilvl w:val="0"/>
          <w:numId w:val="1"/>
        </w:numPr>
        <w:rPr>
          <w:rFonts w:asciiTheme="minorHAnsi" w:hAnsiTheme="minorHAnsi" w:cs="Times New Roman"/>
          <w:sz w:val="23"/>
          <w:szCs w:val="23"/>
        </w:rPr>
      </w:pPr>
      <w:r w:rsidRPr="00220731">
        <w:rPr>
          <w:rFonts w:asciiTheme="minorHAnsi" w:hAnsiTheme="minorHAnsi" w:cs="Times New Roman"/>
          <w:sz w:val="23"/>
          <w:szCs w:val="23"/>
        </w:rPr>
        <w:t xml:space="preserve">Applicant </w:t>
      </w:r>
      <w:r w:rsidR="005B7E52" w:rsidRPr="00220731">
        <w:rPr>
          <w:rFonts w:asciiTheme="minorHAnsi" w:hAnsiTheme="minorHAnsi" w:cs="Times New Roman"/>
          <w:sz w:val="23"/>
          <w:szCs w:val="23"/>
        </w:rPr>
        <w:t>must be</w:t>
      </w:r>
      <w:r w:rsidRPr="00220731">
        <w:rPr>
          <w:rFonts w:asciiTheme="minorHAnsi" w:hAnsiTheme="minorHAnsi" w:cs="Times New Roman"/>
          <w:sz w:val="23"/>
          <w:szCs w:val="23"/>
        </w:rPr>
        <w:t xml:space="preserve"> </w:t>
      </w:r>
      <w:r w:rsidR="00C77AB5" w:rsidRPr="00220731">
        <w:rPr>
          <w:rFonts w:asciiTheme="minorHAnsi" w:hAnsiTheme="minorHAnsi" w:cs="Times New Roman"/>
          <w:sz w:val="23"/>
          <w:szCs w:val="23"/>
        </w:rPr>
        <w:t>an Ohio</w:t>
      </w:r>
      <w:r w:rsidRPr="00220731">
        <w:rPr>
          <w:rFonts w:asciiTheme="minorHAnsi" w:hAnsiTheme="minorHAnsi" w:cs="Times New Roman"/>
          <w:sz w:val="23"/>
          <w:szCs w:val="23"/>
        </w:rPr>
        <w:t xml:space="preserve"> accredited Historically Black Colleges and Universities (HBCU), Tribal colleges, Minority Serving Institutions (MSI), Hispanic Serving Institutions (HSI), Asian-American Native American Pacific Island Serving Institutions (ANAPISI), or other accredited college, community college or university. </w:t>
      </w:r>
    </w:p>
    <w:p w:rsidR="009F4540" w:rsidRPr="00220731" w:rsidRDefault="009F4540" w:rsidP="009F4540">
      <w:pPr>
        <w:pStyle w:val="Default"/>
        <w:rPr>
          <w:rFonts w:asciiTheme="minorHAnsi" w:hAnsiTheme="minorHAnsi" w:cs="Times New Roman"/>
          <w:sz w:val="23"/>
          <w:szCs w:val="23"/>
        </w:rPr>
      </w:pPr>
    </w:p>
    <w:p w:rsidR="009F4540" w:rsidRPr="00220731" w:rsidRDefault="005B7E52" w:rsidP="00C77AB5">
      <w:pPr>
        <w:pStyle w:val="Default"/>
        <w:numPr>
          <w:ilvl w:val="0"/>
          <w:numId w:val="1"/>
        </w:numPr>
        <w:rPr>
          <w:rFonts w:asciiTheme="minorHAnsi" w:hAnsiTheme="minorHAnsi" w:cs="Times New Roman"/>
          <w:sz w:val="23"/>
          <w:szCs w:val="23"/>
        </w:rPr>
      </w:pPr>
      <w:r w:rsidRPr="00220731">
        <w:rPr>
          <w:rFonts w:asciiTheme="minorHAnsi" w:hAnsiTheme="minorHAnsi" w:cs="Times New Roman"/>
          <w:sz w:val="23"/>
          <w:szCs w:val="23"/>
        </w:rPr>
        <w:t>Application packet is due no</w:t>
      </w:r>
      <w:r w:rsidR="002E455D">
        <w:rPr>
          <w:rFonts w:asciiTheme="minorHAnsi" w:hAnsiTheme="minorHAnsi" w:cs="Times New Roman"/>
          <w:sz w:val="23"/>
          <w:szCs w:val="23"/>
        </w:rPr>
        <w:t xml:space="preserve"> later than</w:t>
      </w:r>
      <w:r w:rsidR="009F4540" w:rsidRPr="00220731">
        <w:rPr>
          <w:rFonts w:asciiTheme="minorHAnsi" w:hAnsiTheme="minorHAnsi" w:cs="Times New Roman"/>
          <w:sz w:val="23"/>
          <w:szCs w:val="23"/>
        </w:rPr>
        <w:t xml:space="preserve"> </w:t>
      </w:r>
      <w:r w:rsidR="002E455D">
        <w:rPr>
          <w:rFonts w:asciiTheme="minorHAnsi" w:hAnsiTheme="minorHAnsi" w:cs="Times New Roman"/>
          <w:sz w:val="23"/>
          <w:szCs w:val="23"/>
        </w:rPr>
        <w:t>November 30</w:t>
      </w:r>
      <w:r w:rsidR="009F4540" w:rsidRPr="00220731">
        <w:rPr>
          <w:rFonts w:asciiTheme="minorHAnsi" w:hAnsiTheme="minorHAnsi" w:cs="Times New Roman"/>
          <w:sz w:val="23"/>
          <w:szCs w:val="23"/>
        </w:rPr>
        <w:t>, 201</w:t>
      </w:r>
      <w:r w:rsidRPr="00220731">
        <w:rPr>
          <w:rFonts w:asciiTheme="minorHAnsi" w:hAnsiTheme="minorHAnsi" w:cs="Times New Roman"/>
          <w:sz w:val="23"/>
          <w:szCs w:val="23"/>
        </w:rPr>
        <w:t>6</w:t>
      </w:r>
      <w:r w:rsidR="009F4540" w:rsidRPr="00220731">
        <w:rPr>
          <w:rFonts w:asciiTheme="minorHAnsi" w:hAnsiTheme="minorHAnsi" w:cs="Times New Roman"/>
          <w:sz w:val="23"/>
          <w:szCs w:val="23"/>
        </w:rPr>
        <w:t xml:space="preserve"> at 5:00 p.m. Delivery options include: </w:t>
      </w:r>
    </w:p>
    <w:p w:rsidR="002E455D" w:rsidRPr="002E455D" w:rsidRDefault="00212BE4" w:rsidP="002E455D">
      <w:pPr>
        <w:pStyle w:val="Default"/>
        <w:numPr>
          <w:ilvl w:val="1"/>
          <w:numId w:val="1"/>
        </w:numPr>
        <w:spacing w:after="68"/>
        <w:rPr>
          <w:rFonts w:asciiTheme="minorHAnsi" w:hAnsiTheme="minorHAnsi" w:cs="Times New Roman"/>
          <w:sz w:val="23"/>
          <w:szCs w:val="23"/>
        </w:rPr>
      </w:pPr>
      <w:r w:rsidRPr="00220731">
        <w:rPr>
          <w:rFonts w:asciiTheme="minorHAnsi" w:hAnsiTheme="minorHAnsi" w:cs="Times New Roman"/>
          <w:iCs/>
          <w:sz w:val="23"/>
          <w:szCs w:val="23"/>
          <w:u w:val="single"/>
        </w:rPr>
        <w:t>Email</w:t>
      </w:r>
      <w:r w:rsidRPr="00220731">
        <w:rPr>
          <w:rFonts w:asciiTheme="minorHAnsi" w:hAnsiTheme="minorHAnsi" w:cs="Times New Roman"/>
          <w:sz w:val="23"/>
          <w:szCs w:val="23"/>
        </w:rPr>
        <w:t xml:space="preserve"> (p</w:t>
      </w:r>
      <w:r w:rsidR="009F4540" w:rsidRPr="00220731">
        <w:rPr>
          <w:rFonts w:asciiTheme="minorHAnsi" w:hAnsiTheme="minorHAnsi" w:cs="Times New Roman"/>
          <w:sz w:val="23"/>
          <w:szCs w:val="23"/>
        </w:rPr>
        <w:t>referred)</w:t>
      </w:r>
      <w:r w:rsidRPr="00220731">
        <w:rPr>
          <w:rFonts w:asciiTheme="minorHAnsi" w:hAnsiTheme="minorHAnsi" w:cs="Times New Roman"/>
          <w:sz w:val="23"/>
          <w:szCs w:val="23"/>
        </w:rPr>
        <w:t>:</w:t>
      </w:r>
      <w:r w:rsidR="009F4540" w:rsidRPr="00220731">
        <w:rPr>
          <w:rFonts w:asciiTheme="minorHAnsi" w:hAnsiTheme="minorHAnsi" w:cs="Times New Roman"/>
          <w:sz w:val="23"/>
          <w:szCs w:val="23"/>
        </w:rPr>
        <w:t xml:space="preserve"> </w:t>
      </w:r>
      <w:r w:rsidR="002E455D">
        <w:rPr>
          <w:rFonts w:asciiTheme="minorHAnsi" w:hAnsiTheme="minorHAnsi" w:cs="Times New Roman"/>
          <w:sz w:val="23"/>
          <w:szCs w:val="23"/>
        </w:rPr>
        <w:t>mica.wulfhorst@dot.ohio.gov</w:t>
      </w:r>
    </w:p>
    <w:p w:rsidR="009F4540" w:rsidRPr="00220731" w:rsidRDefault="00212BE4" w:rsidP="00212BE4">
      <w:pPr>
        <w:pStyle w:val="Default"/>
        <w:numPr>
          <w:ilvl w:val="1"/>
          <w:numId w:val="1"/>
        </w:numPr>
        <w:spacing w:after="68"/>
        <w:rPr>
          <w:rFonts w:asciiTheme="minorHAnsi" w:hAnsiTheme="minorHAnsi" w:cs="Times New Roman"/>
          <w:sz w:val="23"/>
          <w:szCs w:val="23"/>
        </w:rPr>
      </w:pPr>
      <w:r w:rsidRPr="00220731">
        <w:rPr>
          <w:rFonts w:asciiTheme="minorHAnsi" w:hAnsiTheme="minorHAnsi" w:cs="Times New Roman"/>
          <w:iCs/>
          <w:sz w:val="23"/>
          <w:szCs w:val="23"/>
          <w:u w:val="single"/>
        </w:rPr>
        <w:t>U.S. Post</w:t>
      </w:r>
      <w:r w:rsidR="009F4540" w:rsidRPr="00220731">
        <w:rPr>
          <w:rFonts w:asciiTheme="minorHAnsi" w:hAnsiTheme="minorHAnsi" w:cs="Times New Roman"/>
          <w:iCs/>
          <w:sz w:val="23"/>
          <w:szCs w:val="23"/>
        </w:rPr>
        <w:t>:</w:t>
      </w:r>
      <w:r w:rsidR="00484B14" w:rsidRPr="00220731">
        <w:rPr>
          <w:rFonts w:asciiTheme="minorHAnsi" w:hAnsiTheme="minorHAnsi" w:cs="Times New Roman"/>
          <w:iCs/>
          <w:sz w:val="23"/>
          <w:szCs w:val="23"/>
        </w:rPr>
        <w:t xml:space="preserve"> </w:t>
      </w:r>
      <w:r w:rsidR="002E455D">
        <w:rPr>
          <w:rFonts w:asciiTheme="minorHAnsi" w:hAnsiTheme="minorHAnsi" w:cs="Times New Roman"/>
          <w:iCs/>
          <w:sz w:val="23"/>
          <w:szCs w:val="23"/>
        </w:rPr>
        <w:t xml:space="preserve"> 1980 W. Broad Street, MS:  3270</w:t>
      </w:r>
      <w:r w:rsidR="00484B14" w:rsidRPr="00220731">
        <w:rPr>
          <w:rFonts w:asciiTheme="minorHAnsi" w:hAnsiTheme="minorHAnsi" w:cs="Times New Roman"/>
          <w:iCs/>
          <w:sz w:val="23"/>
          <w:szCs w:val="23"/>
        </w:rPr>
        <w:t>; Columbus, OH  43223</w:t>
      </w:r>
    </w:p>
    <w:p w:rsidR="009F4540" w:rsidRPr="00220731" w:rsidRDefault="009F4540" w:rsidP="009F4540">
      <w:pPr>
        <w:pStyle w:val="Default"/>
        <w:rPr>
          <w:rFonts w:asciiTheme="minorHAnsi" w:hAnsiTheme="minorHAnsi" w:cs="Times New Roman"/>
          <w:sz w:val="23"/>
          <w:szCs w:val="23"/>
        </w:rPr>
      </w:pPr>
    </w:p>
    <w:p w:rsidR="009F4540" w:rsidRPr="00220731" w:rsidRDefault="009F4540" w:rsidP="00212BE4">
      <w:pPr>
        <w:pStyle w:val="Default"/>
        <w:numPr>
          <w:ilvl w:val="0"/>
          <w:numId w:val="3"/>
        </w:numPr>
        <w:rPr>
          <w:rFonts w:asciiTheme="minorHAnsi" w:hAnsiTheme="minorHAnsi" w:cs="Times New Roman"/>
          <w:sz w:val="23"/>
          <w:szCs w:val="23"/>
        </w:rPr>
      </w:pPr>
      <w:r w:rsidRPr="00220731">
        <w:rPr>
          <w:rFonts w:asciiTheme="minorHAnsi" w:hAnsiTheme="minorHAnsi" w:cs="Times New Roman"/>
          <w:sz w:val="23"/>
          <w:szCs w:val="23"/>
        </w:rPr>
        <w:t xml:space="preserve">Application packet is 10 pages or less. </w:t>
      </w:r>
    </w:p>
    <w:p w:rsidR="009F4540" w:rsidRPr="00220731" w:rsidRDefault="009F4540" w:rsidP="00212BE4">
      <w:pPr>
        <w:pStyle w:val="Default"/>
        <w:numPr>
          <w:ilvl w:val="1"/>
          <w:numId w:val="1"/>
        </w:numPr>
        <w:spacing w:after="66"/>
        <w:rPr>
          <w:rFonts w:asciiTheme="minorHAnsi" w:hAnsiTheme="minorHAnsi" w:cs="Times New Roman"/>
          <w:sz w:val="23"/>
          <w:szCs w:val="23"/>
        </w:rPr>
      </w:pPr>
      <w:r w:rsidRPr="00220731">
        <w:rPr>
          <w:rFonts w:asciiTheme="minorHAnsi" w:hAnsiTheme="minorHAnsi" w:cs="Times New Roman"/>
          <w:iCs/>
          <w:sz w:val="23"/>
          <w:szCs w:val="23"/>
          <w:u w:val="single"/>
        </w:rPr>
        <w:t>Spacing</w:t>
      </w:r>
      <w:r w:rsidRPr="00220731">
        <w:rPr>
          <w:rFonts w:asciiTheme="minorHAnsi" w:hAnsiTheme="minorHAnsi" w:cs="Times New Roman"/>
          <w:iCs/>
          <w:sz w:val="23"/>
          <w:szCs w:val="23"/>
        </w:rPr>
        <w:t xml:space="preserve">: </w:t>
      </w:r>
      <w:r w:rsidRPr="00220731">
        <w:rPr>
          <w:rFonts w:asciiTheme="minorHAnsi" w:hAnsiTheme="minorHAnsi" w:cs="Times New Roman"/>
          <w:sz w:val="23"/>
          <w:szCs w:val="23"/>
        </w:rPr>
        <w:t xml:space="preserve">Pages may be single or double spaced (up to the applicant) </w:t>
      </w:r>
    </w:p>
    <w:p w:rsidR="009F4540" w:rsidRPr="00220731" w:rsidRDefault="009F4540" w:rsidP="00212BE4">
      <w:pPr>
        <w:pStyle w:val="Default"/>
        <w:numPr>
          <w:ilvl w:val="1"/>
          <w:numId w:val="1"/>
        </w:numPr>
        <w:spacing w:after="66"/>
        <w:rPr>
          <w:rFonts w:asciiTheme="minorHAnsi" w:hAnsiTheme="minorHAnsi" w:cs="Times New Roman"/>
          <w:sz w:val="23"/>
          <w:szCs w:val="23"/>
        </w:rPr>
      </w:pPr>
      <w:r w:rsidRPr="00220731">
        <w:rPr>
          <w:rFonts w:asciiTheme="minorHAnsi" w:hAnsiTheme="minorHAnsi" w:cs="Times New Roman"/>
          <w:iCs/>
          <w:sz w:val="23"/>
          <w:szCs w:val="23"/>
          <w:u w:val="single"/>
        </w:rPr>
        <w:t>Margins</w:t>
      </w:r>
      <w:r w:rsidRPr="00220731">
        <w:rPr>
          <w:rFonts w:asciiTheme="minorHAnsi" w:hAnsiTheme="minorHAnsi" w:cs="Times New Roman"/>
          <w:iCs/>
          <w:sz w:val="23"/>
          <w:szCs w:val="23"/>
        </w:rPr>
        <w:t xml:space="preserve">: </w:t>
      </w:r>
      <w:r w:rsidRPr="00220731">
        <w:rPr>
          <w:rFonts w:asciiTheme="minorHAnsi" w:hAnsiTheme="minorHAnsi" w:cs="Times New Roman"/>
          <w:sz w:val="23"/>
          <w:szCs w:val="23"/>
        </w:rPr>
        <w:t xml:space="preserve">Not less than 1” (one-inch) margins around the page </w:t>
      </w:r>
    </w:p>
    <w:p w:rsidR="009F4540" w:rsidRPr="00220731" w:rsidRDefault="009F4540" w:rsidP="00212BE4">
      <w:pPr>
        <w:pStyle w:val="Default"/>
        <w:numPr>
          <w:ilvl w:val="1"/>
          <w:numId w:val="1"/>
        </w:numPr>
        <w:spacing w:after="66"/>
        <w:rPr>
          <w:rFonts w:asciiTheme="minorHAnsi" w:hAnsiTheme="minorHAnsi" w:cs="Times New Roman"/>
          <w:sz w:val="23"/>
          <w:szCs w:val="23"/>
        </w:rPr>
      </w:pPr>
      <w:r w:rsidRPr="00220731">
        <w:rPr>
          <w:rFonts w:asciiTheme="minorHAnsi" w:hAnsiTheme="minorHAnsi" w:cs="Times New Roman"/>
          <w:iCs/>
          <w:sz w:val="23"/>
          <w:szCs w:val="23"/>
          <w:u w:val="single"/>
        </w:rPr>
        <w:t>Font</w:t>
      </w:r>
      <w:r w:rsidRPr="00220731">
        <w:rPr>
          <w:rFonts w:asciiTheme="minorHAnsi" w:hAnsiTheme="minorHAnsi" w:cs="Times New Roman"/>
          <w:iCs/>
          <w:sz w:val="23"/>
          <w:szCs w:val="23"/>
        </w:rPr>
        <w:t xml:space="preserve">: </w:t>
      </w:r>
      <w:r w:rsidRPr="00220731">
        <w:rPr>
          <w:rFonts w:asciiTheme="minorHAnsi" w:hAnsiTheme="minorHAnsi" w:cs="Times New Roman"/>
          <w:sz w:val="23"/>
          <w:szCs w:val="23"/>
        </w:rPr>
        <w:t>Not less than 11-point font</w:t>
      </w:r>
      <w:r w:rsidR="00A431F7">
        <w:rPr>
          <w:rFonts w:asciiTheme="minorHAnsi" w:hAnsiTheme="minorHAnsi" w:cs="Times New Roman"/>
          <w:sz w:val="23"/>
          <w:szCs w:val="23"/>
        </w:rPr>
        <w:t xml:space="preserve"> (Arial, Times New Roman, or Calibri)</w:t>
      </w:r>
      <w:r w:rsidRPr="00220731">
        <w:rPr>
          <w:rFonts w:asciiTheme="minorHAnsi" w:hAnsiTheme="minorHAnsi" w:cs="Times New Roman"/>
          <w:sz w:val="23"/>
          <w:szCs w:val="23"/>
        </w:rPr>
        <w:t xml:space="preserve"> </w:t>
      </w:r>
    </w:p>
    <w:p w:rsidR="009F4540" w:rsidRPr="00220731" w:rsidRDefault="009F4540" w:rsidP="00212BE4">
      <w:pPr>
        <w:pStyle w:val="Default"/>
        <w:numPr>
          <w:ilvl w:val="1"/>
          <w:numId w:val="1"/>
        </w:numPr>
        <w:spacing w:after="66"/>
        <w:rPr>
          <w:rFonts w:asciiTheme="minorHAnsi" w:hAnsiTheme="minorHAnsi" w:cs="Times New Roman"/>
          <w:sz w:val="23"/>
          <w:szCs w:val="23"/>
        </w:rPr>
      </w:pPr>
      <w:r w:rsidRPr="00220731">
        <w:rPr>
          <w:rFonts w:asciiTheme="minorHAnsi" w:hAnsiTheme="minorHAnsi" w:cs="Times New Roman"/>
          <w:iCs/>
          <w:sz w:val="23"/>
          <w:szCs w:val="23"/>
          <w:u w:val="single"/>
        </w:rPr>
        <w:t>Numbering</w:t>
      </w:r>
      <w:r w:rsidRPr="00220731">
        <w:rPr>
          <w:rFonts w:asciiTheme="minorHAnsi" w:hAnsiTheme="minorHAnsi" w:cs="Times New Roman"/>
          <w:iCs/>
          <w:sz w:val="23"/>
          <w:szCs w:val="23"/>
        </w:rPr>
        <w:t xml:space="preserve">: </w:t>
      </w:r>
      <w:r w:rsidRPr="00220731">
        <w:rPr>
          <w:rFonts w:asciiTheme="minorHAnsi" w:hAnsiTheme="minorHAnsi" w:cs="Times New Roman"/>
          <w:sz w:val="23"/>
          <w:szCs w:val="23"/>
        </w:rPr>
        <w:t xml:space="preserve">Pages must be numbered, </w:t>
      </w:r>
      <w:proofErr w:type="spellStart"/>
      <w:r w:rsidRPr="00220731">
        <w:rPr>
          <w:rFonts w:asciiTheme="minorHAnsi" w:hAnsiTheme="minorHAnsi" w:cs="Times New Roman"/>
          <w:sz w:val="23"/>
          <w:szCs w:val="23"/>
        </w:rPr>
        <w:t>i.e</w:t>
      </w:r>
      <w:proofErr w:type="spellEnd"/>
      <w:r w:rsidRPr="00220731">
        <w:rPr>
          <w:rFonts w:asciiTheme="minorHAnsi" w:hAnsiTheme="minorHAnsi" w:cs="Times New Roman"/>
          <w:sz w:val="23"/>
          <w:szCs w:val="23"/>
        </w:rPr>
        <w:t xml:space="preserve">, “1 of 10,” “2 of 10,” etc. </w:t>
      </w:r>
    </w:p>
    <w:p w:rsidR="009F4540" w:rsidRPr="00220731" w:rsidRDefault="009F4540" w:rsidP="00212BE4">
      <w:pPr>
        <w:pStyle w:val="Default"/>
        <w:numPr>
          <w:ilvl w:val="1"/>
          <w:numId w:val="1"/>
        </w:numPr>
        <w:spacing w:after="66"/>
        <w:rPr>
          <w:rFonts w:asciiTheme="minorHAnsi" w:hAnsiTheme="minorHAnsi" w:cs="Times New Roman"/>
          <w:sz w:val="23"/>
          <w:szCs w:val="23"/>
        </w:rPr>
      </w:pPr>
      <w:r w:rsidRPr="00220731">
        <w:rPr>
          <w:rFonts w:asciiTheme="minorHAnsi" w:hAnsiTheme="minorHAnsi" w:cs="Times New Roman"/>
          <w:iCs/>
          <w:sz w:val="23"/>
          <w:szCs w:val="23"/>
          <w:u w:val="single"/>
        </w:rPr>
        <w:t>Format</w:t>
      </w:r>
      <w:r w:rsidRPr="00220731">
        <w:rPr>
          <w:rFonts w:asciiTheme="minorHAnsi" w:hAnsiTheme="minorHAnsi" w:cs="Times New Roman"/>
          <w:iCs/>
          <w:sz w:val="23"/>
          <w:szCs w:val="23"/>
        </w:rPr>
        <w:t xml:space="preserve">: </w:t>
      </w:r>
      <w:r w:rsidRPr="00220731">
        <w:rPr>
          <w:rFonts w:asciiTheme="minorHAnsi" w:hAnsiTheme="minorHAnsi" w:cs="Times New Roman"/>
          <w:sz w:val="23"/>
          <w:szCs w:val="23"/>
        </w:rPr>
        <w:t xml:space="preserve">Must follow the layout provided in “Statement of Work Application” and must respond to the information requested in the application. </w:t>
      </w:r>
    </w:p>
    <w:p w:rsidR="009F4540" w:rsidRPr="00220731" w:rsidRDefault="009F4540" w:rsidP="00212BE4">
      <w:pPr>
        <w:pStyle w:val="Default"/>
        <w:numPr>
          <w:ilvl w:val="1"/>
          <w:numId w:val="1"/>
        </w:numPr>
        <w:rPr>
          <w:rFonts w:asciiTheme="minorHAnsi" w:hAnsiTheme="minorHAnsi" w:cs="Times New Roman"/>
          <w:sz w:val="23"/>
          <w:szCs w:val="23"/>
        </w:rPr>
      </w:pPr>
      <w:r w:rsidRPr="00220731">
        <w:rPr>
          <w:rFonts w:asciiTheme="minorHAnsi" w:hAnsiTheme="minorHAnsi" w:cs="Times New Roman"/>
          <w:sz w:val="23"/>
          <w:szCs w:val="23"/>
        </w:rPr>
        <w:t xml:space="preserve">The 10-page limit includes the Statement of Work only; Proposal Application (Tables A-E) is not included in the page count. </w:t>
      </w:r>
    </w:p>
    <w:p w:rsidR="009F4540" w:rsidRPr="00220731" w:rsidRDefault="009F4540" w:rsidP="009F4540">
      <w:pPr>
        <w:pStyle w:val="Default"/>
        <w:rPr>
          <w:rFonts w:asciiTheme="minorHAnsi" w:hAnsiTheme="minorHAnsi" w:cs="Times New Roman"/>
          <w:sz w:val="23"/>
          <w:szCs w:val="23"/>
        </w:rPr>
      </w:pPr>
    </w:p>
    <w:p w:rsidR="009F4540" w:rsidRPr="00220731" w:rsidRDefault="009F4540" w:rsidP="00212BE4">
      <w:pPr>
        <w:pStyle w:val="Default"/>
        <w:numPr>
          <w:ilvl w:val="0"/>
          <w:numId w:val="3"/>
        </w:numPr>
        <w:rPr>
          <w:rFonts w:asciiTheme="minorHAnsi" w:hAnsiTheme="minorHAnsi" w:cs="Times New Roman"/>
          <w:sz w:val="23"/>
          <w:szCs w:val="23"/>
        </w:rPr>
      </w:pPr>
      <w:r w:rsidRPr="00220731">
        <w:rPr>
          <w:rFonts w:asciiTheme="minorHAnsi" w:hAnsiTheme="minorHAnsi" w:cs="Times New Roman"/>
          <w:sz w:val="23"/>
          <w:szCs w:val="23"/>
        </w:rPr>
        <w:t xml:space="preserve">Application packet is complete. </w:t>
      </w:r>
    </w:p>
    <w:p w:rsidR="009F4540" w:rsidRPr="00220731" w:rsidRDefault="009F4540" w:rsidP="00212BE4">
      <w:pPr>
        <w:pStyle w:val="Default"/>
        <w:numPr>
          <w:ilvl w:val="1"/>
          <w:numId w:val="1"/>
        </w:numPr>
        <w:rPr>
          <w:rFonts w:asciiTheme="minorHAnsi" w:hAnsiTheme="minorHAnsi" w:cs="Times New Roman"/>
          <w:sz w:val="23"/>
          <w:szCs w:val="23"/>
        </w:rPr>
      </w:pPr>
      <w:r w:rsidRPr="00220731">
        <w:rPr>
          <w:rFonts w:asciiTheme="minorHAnsi" w:hAnsiTheme="minorHAnsi" w:cs="Times New Roman"/>
          <w:sz w:val="23"/>
          <w:szCs w:val="23"/>
        </w:rPr>
        <w:t xml:space="preserve">A complete packet will contain the Statement of Work and the Proposal Application. </w:t>
      </w:r>
    </w:p>
    <w:p w:rsidR="009F4540" w:rsidRPr="00220731" w:rsidRDefault="009F4540" w:rsidP="009F4540">
      <w:pPr>
        <w:pStyle w:val="Default"/>
        <w:rPr>
          <w:rFonts w:asciiTheme="minorHAnsi" w:hAnsiTheme="minorHAnsi" w:cs="Times New Roman"/>
          <w:sz w:val="23"/>
          <w:szCs w:val="23"/>
        </w:rPr>
      </w:pPr>
    </w:p>
    <w:p w:rsidR="009F4540" w:rsidRPr="00220731" w:rsidRDefault="009F4540" w:rsidP="009F4540">
      <w:pPr>
        <w:pStyle w:val="Default"/>
        <w:pageBreakBefore/>
        <w:rPr>
          <w:rFonts w:asciiTheme="minorHAnsi" w:hAnsiTheme="minorHAnsi" w:cs="Times New Roman"/>
          <w:sz w:val="16"/>
          <w:szCs w:val="16"/>
        </w:rPr>
      </w:pPr>
    </w:p>
    <w:p w:rsidR="009F4540" w:rsidRPr="00220731" w:rsidRDefault="009F4540" w:rsidP="00212BE4">
      <w:pPr>
        <w:pStyle w:val="Default"/>
        <w:numPr>
          <w:ilvl w:val="0"/>
          <w:numId w:val="4"/>
        </w:numPr>
        <w:rPr>
          <w:rFonts w:asciiTheme="minorHAnsi" w:hAnsiTheme="minorHAnsi" w:cs="Times New Roman"/>
          <w:sz w:val="23"/>
          <w:szCs w:val="23"/>
        </w:rPr>
      </w:pPr>
      <w:r w:rsidRPr="00220731">
        <w:rPr>
          <w:rFonts w:asciiTheme="minorHAnsi" w:hAnsiTheme="minorHAnsi" w:cs="Times New Roman"/>
          <w:sz w:val="23"/>
          <w:szCs w:val="23"/>
        </w:rPr>
        <w:t xml:space="preserve">A Selection Committee will rank the proposals and may short list a group of finalists for a presentation. Proposers are encouraged to submit their proposals as comprehensively as possible because final decisions may be made without presentations. Applications will be evaluated against the following criteria: </w:t>
      </w:r>
    </w:p>
    <w:p w:rsidR="00212BE4" w:rsidRPr="00220731" w:rsidRDefault="00212BE4" w:rsidP="00212BE4">
      <w:pPr>
        <w:pStyle w:val="Default"/>
        <w:rPr>
          <w:rFonts w:asciiTheme="minorHAnsi" w:hAnsiTheme="minorHAnsi" w:cs="Times New Roman"/>
          <w:sz w:val="23"/>
          <w:szCs w:val="2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175"/>
      </w:tblGrid>
      <w:tr w:rsidR="00D05AF8" w:rsidRPr="00220731" w:rsidTr="00D05AF8">
        <w:tc>
          <w:tcPr>
            <w:tcW w:w="6385" w:type="dxa"/>
            <w:shd w:val="clear" w:color="auto" w:fill="D9D9D9" w:themeFill="background1" w:themeFillShade="D9"/>
          </w:tcPr>
          <w:p w:rsidR="00D05AF8" w:rsidRPr="00220731" w:rsidRDefault="00D05AF8" w:rsidP="00D05AF8">
            <w:pPr>
              <w:pStyle w:val="Default"/>
              <w:jc w:val="center"/>
              <w:rPr>
                <w:rFonts w:asciiTheme="minorHAnsi" w:hAnsiTheme="minorHAnsi" w:cs="Times New Roman"/>
                <w:sz w:val="23"/>
                <w:szCs w:val="23"/>
              </w:rPr>
            </w:pPr>
            <w:r w:rsidRPr="00220731">
              <w:rPr>
                <w:rFonts w:asciiTheme="minorHAnsi" w:hAnsiTheme="minorHAnsi" w:cs="Times New Roman"/>
                <w:b/>
                <w:bCs/>
                <w:sz w:val="23"/>
                <w:szCs w:val="23"/>
              </w:rPr>
              <w:t>Evaluation Criteria</w:t>
            </w:r>
          </w:p>
        </w:tc>
        <w:tc>
          <w:tcPr>
            <w:tcW w:w="1175" w:type="dxa"/>
            <w:shd w:val="clear" w:color="auto" w:fill="D9D9D9" w:themeFill="background1" w:themeFillShade="D9"/>
          </w:tcPr>
          <w:p w:rsidR="00D05AF8" w:rsidRPr="00220731" w:rsidRDefault="00D05AF8" w:rsidP="00D05AF8">
            <w:pPr>
              <w:pStyle w:val="Default"/>
              <w:jc w:val="center"/>
              <w:rPr>
                <w:rFonts w:asciiTheme="minorHAnsi" w:hAnsiTheme="minorHAnsi" w:cs="Times New Roman"/>
                <w:sz w:val="23"/>
                <w:szCs w:val="23"/>
              </w:rPr>
            </w:pPr>
            <w:r w:rsidRPr="00220731">
              <w:rPr>
                <w:rFonts w:asciiTheme="minorHAnsi" w:hAnsiTheme="minorHAnsi" w:cs="Times New Roman"/>
                <w:b/>
                <w:bCs/>
                <w:sz w:val="23"/>
                <w:szCs w:val="23"/>
              </w:rPr>
              <w:t>Weight</w:t>
            </w:r>
          </w:p>
        </w:tc>
      </w:tr>
      <w:tr w:rsidR="00D05AF8" w:rsidRPr="00220731" w:rsidTr="00D05AF8">
        <w:tc>
          <w:tcPr>
            <w:tcW w:w="6385" w:type="dxa"/>
            <w:tcBorders>
              <w:bottom w:val="single" w:sz="4" w:space="0" w:color="auto"/>
            </w:tcBorders>
            <w:shd w:val="clear" w:color="auto" w:fill="FFFFFF" w:themeFill="background1"/>
          </w:tcPr>
          <w:p w:rsidR="00D05AF8" w:rsidRPr="00220731" w:rsidRDefault="00D05AF8" w:rsidP="00D05AF8">
            <w:pPr>
              <w:pStyle w:val="Default"/>
              <w:rPr>
                <w:rFonts w:asciiTheme="minorHAnsi" w:hAnsiTheme="minorHAnsi" w:cs="Times New Roman"/>
                <w:sz w:val="23"/>
                <w:szCs w:val="23"/>
              </w:rPr>
            </w:pPr>
            <w:r w:rsidRPr="00220731">
              <w:rPr>
                <w:rFonts w:asciiTheme="minorHAnsi" w:hAnsiTheme="minorHAnsi" w:cs="Times New Roman"/>
                <w:bCs/>
                <w:sz w:val="23"/>
                <w:szCs w:val="23"/>
              </w:rPr>
              <w:t>Documented, well-rounded, and comprehensive approach to promote awareness of Science, technology, engineering and math (STEM) educational and career opportunities</w:t>
            </w:r>
          </w:p>
        </w:tc>
        <w:tc>
          <w:tcPr>
            <w:tcW w:w="1175" w:type="dxa"/>
            <w:tcBorders>
              <w:bottom w:val="single" w:sz="4" w:space="0" w:color="auto"/>
            </w:tcBorders>
          </w:tcPr>
          <w:p w:rsidR="00D05AF8" w:rsidRPr="00220731" w:rsidRDefault="00D05AF8" w:rsidP="00D05AF8">
            <w:pPr>
              <w:pStyle w:val="Default"/>
              <w:jc w:val="center"/>
              <w:rPr>
                <w:rFonts w:asciiTheme="minorHAnsi" w:hAnsiTheme="minorHAnsi" w:cs="Times New Roman"/>
                <w:sz w:val="23"/>
                <w:szCs w:val="23"/>
              </w:rPr>
            </w:pPr>
            <w:r w:rsidRPr="00220731">
              <w:rPr>
                <w:rFonts w:asciiTheme="minorHAnsi" w:hAnsiTheme="minorHAnsi" w:cs="Times New Roman"/>
                <w:sz w:val="23"/>
                <w:szCs w:val="23"/>
              </w:rPr>
              <w:t>25%</w:t>
            </w:r>
          </w:p>
        </w:tc>
      </w:tr>
      <w:tr w:rsidR="00D05AF8" w:rsidRPr="00220731" w:rsidTr="00D05AF8">
        <w:tc>
          <w:tcPr>
            <w:tcW w:w="6385" w:type="dxa"/>
            <w:tcBorders>
              <w:top w:val="single" w:sz="4" w:space="0" w:color="auto"/>
              <w:bottom w:val="single" w:sz="4" w:space="0" w:color="auto"/>
            </w:tcBorders>
            <w:shd w:val="clear" w:color="auto" w:fill="FFFFFF" w:themeFill="background1"/>
          </w:tcPr>
          <w:p w:rsidR="00D05AF8" w:rsidRPr="00220731" w:rsidRDefault="00D05AF8" w:rsidP="00D05AF8">
            <w:pPr>
              <w:pStyle w:val="Default"/>
              <w:rPr>
                <w:rFonts w:asciiTheme="minorHAnsi" w:hAnsiTheme="minorHAnsi" w:cs="Times New Roman"/>
                <w:sz w:val="23"/>
                <w:szCs w:val="23"/>
              </w:rPr>
            </w:pPr>
            <w:r w:rsidRPr="00220731">
              <w:rPr>
                <w:rFonts w:asciiTheme="minorHAnsi" w:hAnsiTheme="minorHAnsi" w:cs="Times New Roman"/>
                <w:bCs/>
                <w:sz w:val="23"/>
                <w:szCs w:val="23"/>
              </w:rPr>
              <w:t>Demonstrated inclusion of various modes (e.g., highways, aviation, transit and maritime) in activities and events</w:t>
            </w:r>
          </w:p>
        </w:tc>
        <w:tc>
          <w:tcPr>
            <w:tcW w:w="1175" w:type="dxa"/>
            <w:tcBorders>
              <w:top w:val="single" w:sz="4" w:space="0" w:color="auto"/>
              <w:bottom w:val="single" w:sz="4" w:space="0" w:color="auto"/>
            </w:tcBorders>
          </w:tcPr>
          <w:p w:rsidR="00D05AF8" w:rsidRPr="00220731" w:rsidRDefault="00D05AF8" w:rsidP="00D05AF8">
            <w:pPr>
              <w:pStyle w:val="Default"/>
              <w:jc w:val="center"/>
              <w:rPr>
                <w:rFonts w:asciiTheme="minorHAnsi" w:hAnsiTheme="minorHAnsi" w:cs="Times New Roman"/>
                <w:sz w:val="23"/>
                <w:szCs w:val="23"/>
              </w:rPr>
            </w:pPr>
            <w:r w:rsidRPr="00220731">
              <w:rPr>
                <w:rFonts w:asciiTheme="minorHAnsi" w:hAnsiTheme="minorHAnsi" w:cs="Times New Roman"/>
                <w:sz w:val="23"/>
                <w:szCs w:val="23"/>
              </w:rPr>
              <w:t>25%</w:t>
            </w:r>
          </w:p>
          <w:p w:rsidR="00D05AF8" w:rsidRPr="00220731" w:rsidRDefault="00D05AF8" w:rsidP="00D05AF8">
            <w:pPr>
              <w:pStyle w:val="Default"/>
              <w:jc w:val="center"/>
              <w:rPr>
                <w:rFonts w:asciiTheme="minorHAnsi" w:hAnsiTheme="minorHAnsi" w:cs="Times New Roman"/>
                <w:sz w:val="23"/>
                <w:szCs w:val="23"/>
              </w:rPr>
            </w:pPr>
          </w:p>
        </w:tc>
      </w:tr>
      <w:tr w:rsidR="00D05AF8" w:rsidRPr="00220731" w:rsidTr="00D05AF8">
        <w:tc>
          <w:tcPr>
            <w:tcW w:w="6385" w:type="dxa"/>
            <w:tcBorders>
              <w:top w:val="single" w:sz="4" w:space="0" w:color="auto"/>
              <w:bottom w:val="single" w:sz="4" w:space="0" w:color="auto"/>
            </w:tcBorders>
            <w:shd w:val="clear" w:color="auto" w:fill="FFFFFF" w:themeFill="background1"/>
          </w:tcPr>
          <w:p w:rsidR="00D05AF8" w:rsidRPr="00220731" w:rsidRDefault="00D05AF8" w:rsidP="00CC391F">
            <w:pPr>
              <w:pStyle w:val="Default"/>
              <w:rPr>
                <w:rFonts w:asciiTheme="minorHAnsi" w:hAnsiTheme="minorHAnsi" w:cs="Times New Roman"/>
                <w:sz w:val="23"/>
                <w:szCs w:val="23"/>
              </w:rPr>
            </w:pPr>
            <w:r w:rsidRPr="00220731">
              <w:rPr>
                <w:rFonts w:asciiTheme="minorHAnsi" w:hAnsiTheme="minorHAnsi" w:cs="Times New Roman"/>
                <w:bCs/>
                <w:sz w:val="23"/>
                <w:szCs w:val="23"/>
              </w:rPr>
              <w:t xml:space="preserve">Documented plan </w:t>
            </w:r>
            <w:r w:rsidR="00CC391F">
              <w:rPr>
                <w:rFonts w:asciiTheme="minorHAnsi" w:hAnsiTheme="minorHAnsi" w:cs="Times New Roman"/>
                <w:bCs/>
                <w:sz w:val="23"/>
                <w:szCs w:val="23"/>
              </w:rPr>
              <w:t xml:space="preserve">for recruitment (provide specific information as to where </w:t>
            </w:r>
            <w:r w:rsidRPr="00220731">
              <w:rPr>
                <w:rFonts w:asciiTheme="minorHAnsi" w:hAnsiTheme="minorHAnsi" w:cs="Times New Roman"/>
                <w:bCs/>
                <w:sz w:val="23"/>
                <w:szCs w:val="23"/>
              </w:rPr>
              <w:t>disad</w:t>
            </w:r>
            <w:r w:rsidR="00CC391F">
              <w:rPr>
                <w:rFonts w:asciiTheme="minorHAnsi" w:hAnsiTheme="minorHAnsi" w:cs="Times New Roman"/>
                <w:bCs/>
                <w:sz w:val="23"/>
                <w:szCs w:val="23"/>
              </w:rPr>
              <w:t xml:space="preserve">vantaged and at-risk middle and/or </w:t>
            </w:r>
            <w:r w:rsidRPr="00220731">
              <w:rPr>
                <w:rFonts w:asciiTheme="minorHAnsi" w:hAnsiTheme="minorHAnsi" w:cs="Times New Roman"/>
                <w:bCs/>
                <w:sz w:val="23"/>
                <w:szCs w:val="23"/>
              </w:rPr>
              <w:t>high school students</w:t>
            </w:r>
            <w:r w:rsidR="00CC391F">
              <w:rPr>
                <w:rFonts w:asciiTheme="minorHAnsi" w:hAnsiTheme="minorHAnsi" w:cs="Times New Roman"/>
                <w:bCs/>
                <w:sz w:val="23"/>
                <w:szCs w:val="23"/>
              </w:rPr>
              <w:t xml:space="preserve"> and/or those who are aging out of foster care will be recruited from)</w:t>
            </w:r>
            <w:bookmarkStart w:id="0" w:name="_GoBack"/>
            <w:bookmarkEnd w:id="0"/>
          </w:p>
        </w:tc>
        <w:tc>
          <w:tcPr>
            <w:tcW w:w="1175" w:type="dxa"/>
            <w:tcBorders>
              <w:top w:val="single" w:sz="4" w:space="0" w:color="auto"/>
              <w:bottom w:val="single" w:sz="4" w:space="0" w:color="auto"/>
            </w:tcBorders>
          </w:tcPr>
          <w:p w:rsidR="00D05AF8" w:rsidRPr="00220731" w:rsidRDefault="00D05AF8" w:rsidP="00D05AF8">
            <w:pPr>
              <w:pStyle w:val="Default"/>
              <w:jc w:val="center"/>
              <w:rPr>
                <w:rFonts w:asciiTheme="minorHAnsi" w:hAnsiTheme="minorHAnsi" w:cs="Times New Roman"/>
                <w:sz w:val="23"/>
                <w:szCs w:val="23"/>
              </w:rPr>
            </w:pPr>
            <w:r w:rsidRPr="00220731">
              <w:rPr>
                <w:rFonts w:asciiTheme="minorHAnsi" w:hAnsiTheme="minorHAnsi" w:cs="Times New Roman"/>
                <w:sz w:val="23"/>
                <w:szCs w:val="23"/>
              </w:rPr>
              <w:t>25%</w:t>
            </w:r>
          </w:p>
        </w:tc>
      </w:tr>
      <w:tr w:rsidR="00D05AF8" w:rsidRPr="00220731" w:rsidTr="00D05AF8">
        <w:tc>
          <w:tcPr>
            <w:tcW w:w="6385" w:type="dxa"/>
            <w:tcBorders>
              <w:top w:val="single" w:sz="4" w:space="0" w:color="auto"/>
              <w:bottom w:val="single" w:sz="4" w:space="0" w:color="auto"/>
            </w:tcBorders>
            <w:shd w:val="clear" w:color="auto" w:fill="FFFFFF" w:themeFill="background1"/>
          </w:tcPr>
          <w:p w:rsidR="00D05AF8" w:rsidRPr="00220731" w:rsidRDefault="00D05AF8" w:rsidP="00D05AF8">
            <w:pPr>
              <w:pStyle w:val="Default"/>
              <w:rPr>
                <w:rFonts w:asciiTheme="minorHAnsi" w:hAnsiTheme="minorHAnsi" w:cs="Times New Roman"/>
                <w:sz w:val="23"/>
                <w:szCs w:val="23"/>
              </w:rPr>
            </w:pPr>
            <w:r w:rsidRPr="00220731">
              <w:rPr>
                <w:rFonts w:asciiTheme="minorHAnsi" w:hAnsiTheme="minorHAnsi" w:cs="Times New Roman"/>
                <w:bCs/>
                <w:sz w:val="23"/>
                <w:szCs w:val="23"/>
              </w:rPr>
              <w:t>Budget allocation demonstrates understanding of program requirements and sound fiscal accountability.</w:t>
            </w:r>
          </w:p>
        </w:tc>
        <w:tc>
          <w:tcPr>
            <w:tcW w:w="1175" w:type="dxa"/>
            <w:tcBorders>
              <w:top w:val="single" w:sz="4" w:space="0" w:color="auto"/>
              <w:bottom w:val="single" w:sz="4" w:space="0" w:color="auto"/>
            </w:tcBorders>
          </w:tcPr>
          <w:p w:rsidR="00D05AF8" w:rsidRPr="00220731" w:rsidRDefault="00D05AF8" w:rsidP="00D05AF8">
            <w:pPr>
              <w:pStyle w:val="Default"/>
              <w:jc w:val="center"/>
              <w:rPr>
                <w:rFonts w:asciiTheme="minorHAnsi" w:hAnsiTheme="minorHAnsi" w:cs="Times New Roman"/>
                <w:sz w:val="23"/>
                <w:szCs w:val="23"/>
              </w:rPr>
            </w:pPr>
            <w:r w:rsidRPr="00220731">
              <w:rPr>
                <w:rFonts w:asciiTheme="minorHAnsi" w:hAnsiTheme="minorHAnsi" w:cs="Times New Roman"/>
                <w:sz w:val="23"/>
                <w:szCs w:val="23"/>
              </w:rPr>
              <w:t>15%</w:t>
            </w:r>
          </w:p>
        </w:tc>
      </w:tr>
      <w:tr w:rsidR="00D05AF8" w:rsidRPr="00220731" w:rsidTr="00D05AF8">
        <w:tc>
          <w:tcPr>
            <w:tcW w:w="6385" w:type="dxa"/>
            <w:tcBorders>
              <w:top w:val="single" w:sz="4" w:space="0" w:color="auto"/>
            </w:tcBorders>
            <w:shd w:val="clear" w:color="auto" w:fill="FFFFFF" w:themeFill="background1"/>
          </w:tcPr>
          <w:p w:rsidR="00D05AF8" w:rsidRPr="00220731" w:rsidRDefault="00D05AF8" w:rsidP="00D05AF8">
            <w:pPr>
              <w:pStyle w:val="Default"/>
              <w:rPr>
                <w:rFonts w:asciiTheme="minorHAnsi" w:hAnsiTheme="minorHAnsi" w:cs="Times New Roman"/>
                <w:sz w:val="23"/>
                <w:szCs w:val="23"/>
              </w:rPr>
            </w:pPr>
            <w:r w:rsidRPr="00220731">
              <w:rPr>
                <w:rFonts w:asciiTheme="minorHAnsi" w:hAnsiTheme="minorHAnsi" w:cs="Times New Roman"/>
                <w:bCs/>
                <w:sz w:val="23"/>
                <w:szCs w:val="23"/>
              </w:rPr>
              <w:t>Demonstrated inclusion of external stakeholders for financial, programmatic, or other support</w:t>
            </w:r>
          </w:p>
        </w:tc>
        <w:tc>
          <w:tcPr>
            <w:tcW w:w="1175" w:type="dxa"/>
            <w:tcBorders>
              <w:top w:val="single" w:sz="4" w:space="0" w:color="auto"/>
            </w:tcBorders>
          </w:tcPr>
          <w:p w:rsidR="00D05AF8" w:rsidRPr="00220731" w:rsidRDefault="00D05AF8" w:rsidP="00D05AF8">
            <w:pPr>
              <w:pStyle w:val="Default"/>
              <w:jc w:val="center"/>
              <w:rPr>
                <w:rFonts w:asciiTheme="minorHAnsi" w:hAnsiTheme="minorHAnsi" w:cs="Times New Roman"/>
                <w:sz w:val="23"/>
                <w:szCs w:val="23"/>
              </w:rPr>
            </w:pPr>
            <w:r w:rsidRPr="00220731">
              <w:rPr>
                <w:rFonts w:asciiTheme="minorHAnsi" w:hAnsiTheme="minorHAnsi" w:cs="Times New Roman"/>
                <w:sz w:val="23"/>
                <w:szCs w:val="23"/>
              </w:rPr>
              <w:t>10%</w:t>
            </w:r>
          </w:p>
        </w:tc>
      </w:tr>
    </w:tbl>
    <w:p w:rsidR="00D05AF8" w:rsidRPr="00220731" w:rsidRDefault="00D05AF8" w:rsidP="00D05AF8">
      <w:pPr>
        <w:pStyle w:val="Default"/>
        <w:rPr>
          <w:rFonts w:asciiTheme="minorHAnsi" w:hAnsiTheme="minorHAnsi" w:cs="Times New Roman"/>
          <w:sz w:val="23"/>
          <w:szCs w:val="23"/>
        </w:rPr>
      </w:pPr>
    </w:p>
    <w:p w:rsidR="00D05AF8" w:rsidRPr="00220731" w:rsidRDefault="00D05AF8" w:rsidP="00D05AF8">
      <w:pPr>
        <w:pStyle w:val="Default"/>
        <w:rPr>
          <w:rFonts w:asciiTheme="minorHAnsi" w:hAnsiTheme="minorHAnsi" w:cs="Times New Roman"/>
          <w:sz w:val="23"/>
          <w:szCs w:val="23"/>
        </w:rPr>
      </w:pPr>
    </w:p>
    <w:p w:rsidR="00D05AF8" w:rsidRPr="00220731" w:rsidRDefault="00D05AF8" w:rsidP="00D05AF8">
      <w:pPr>
        <w:pStyle w:val="Default"/>
        <w:rPr>
          <w:rFonts w:asciiTheme="minorHAnsi" w:hAnsiTheme="minorHAnsi" w:cs="Times New Roman"/>
        </w:rPr>
      </w:pPr>
    </w:p>
    <w:p w:rsidR="00D05AF8" w:rsidRPr="00220731" w:rsidRDefault="00D05AF8" w:rsidP="00D05AF8">
      <w:pPr>
        <w:pStyle w:val="Default"/>
        <w:numPr>
          <w:ilvl w:val="0"/>
          <w:numId w:val="4"/>
        </w:numPr>
        <w:rPr>
          <w:rFonts w:asciiTheme="minorHAnsi" w:hAnsiTheme="minorHAnsi" w:cs="Times New Roman"/>
          <w:sz w:val="23"/>
          <w:szCs w:val="23"/>
        </w:rPr>
      </w:pPr>
      <w:r w:rsidRPr="00220731">
        <w:rPr>
          <w:rFonts w:asciiTheme="minorHAnsi" w:hAnsiTheme="minorHAnsi" w:cs="Times New Roman"/>
          <w:sz w:val="23"/>
          <w:szCs w:val="23"/>
        </w:rPr>
        <w:t xml:space="preserve">In accordance with application submission requirements published by USDOT, </w:t>
      </w:r>
      <w:r w:rsidR="00484B14" w:rsidRPr="00220731">
        <w:rPr>
          <w:rFonts w:asciiTheme="minorHAnsi" w:hAnsiTheme="minorHAnsi" w:cs="Times New Roman"/>
          <w:sz w:val="23"/>
          <w:szCs w:val="23"/>
        </w:rPr>
        <w:t>ODOT will</w:t>
      </w:r>
      <w:r w:rsidRPr="00220731">
        <w:rPr>
          <w:rFonts w:asciiTheme="minorHAnsi" w:hAnsiTheme="minorHAnsi" w:cs="Times New Roman"/>
          <w:sz w:val="23"/>
          <w:szCs w:val="23"/>
        </w:rPr>
        <w:t xml:space="preserve"> evaluate potential host sites on several factors, including past performance (programmatic and fiscal) of prior host sites. Therefore, the following considerations apply to applicants that have previously served as NSTI host sites. </w:t>
      </w:r>
    </w:p>
    <w:p w:rsidR="00D05AF8" w:rsidRPr="00220731" w:rsidRDefault="00D05AF8" w:rsidP="00D05AF8">
      <w:pPr>
        <w:pStyle w:val="Default"/>
        <w:rPr>
          <w:rFonts w:asciiTheme="minorHAnsi" w:hAnsiTheme="minorHAnsi" w:cs="Times New Roman"/>
          <w:sz w:val="23"/>
          <w:szCs w:val="23"/>
        </w:rPr>
      </w:pPr>
    </w:p>
    <w:p w:rsidR="00D05AF8" w:rsidRPr="00220731" w:rsidRDefault="00D05AF8" w:rsidP="00D05AF8">
      <w:pPr>
        <w:pStyle w:val="Default"/>
        <w:numPr>
          <w:ilvl w:val="0"/>
          <w:numId w:val="6"/>
        </w:numPr>
        <w:spacing w:after="80"/>
        <w:rPr>
          <w:rFonts w:asciiTheme="minorHAnsi" w:hAnsiTheme="minorHAnsi" w:cs="Times New Roman"/>
          <w:sz w:val="23"/>
          <w:szCs w:val="23"/>
        </w:rPr>
      </w:pPr>
      <w:r w:rsidRPr="00220731">
        <w:rPr>
          <w:rFonts w:asciiTheme="minorHAnsi" w:hAnsiTheme="minorHAnsi" w:cs="Times New Roman"/>
          <w:sz w:val="23"/>
          <w:szCs w:val="23"/>
        </w:rPr>
        <w:t xml:space="preserve">Did the applicant’s activities and events meet NSTI program objectives? </w:t>
      </w:r>
    </w:p>
    <w:p w:rsidR="00D05AF8" w:rsidRPr="00220731" w:rsidRDefault="00D05AF8" w:rsidP="00D05AF8">
      <w:pPr>
        <w:pStyle w:val="Default"/>
        <w:numPr>
          <w:ilvl w:val="0"/>
          <w:numId w:val="6"/>
        </w:numPr>
        <w:spacing w:after="80"/>
        <w:rPr>
          <w:rFonts w:asciiTheme="minorHAnsi" w:hAnsiTheme="minorHAnsi" w:cs="Times New Roman"/>
          <w:sz w:val="23"/>
          <w:szCs w:val="23"/>
        </w:rPr>
      </w:pPr>
      <w:r w:rsidRPr="00220731">
        <w:rPr>
          <w:rFonts w:asciiTheme="minorHAnsi" w:hAnsiTheme="minorHAnsi" w:cs="Times New Roman"/>
          <w:sz w:val="23"/>
          <w:szCs w:val="23"/>
        </w:rPr>
        <w:t xml:space="preserve">Did the applicant evaluate its program components as required? </w:t>
      </w:r>
    </w:p>
    <w:p w:rsidR="00D05AF8" w:rsidRPr="00220731" w:rsidRDefault="00D05AF8" w:rsidP="00D05AF8">
      <w:pPr>
        <w:pStyle w:val="Default"/>
        <w:numPr>
          <w:ilvl w:val="0"/>
          <w:numId w:val="6"/>
        </w:numPr>
        <w:spacing w:after="80"/>
        <w:rPr>
          <w:rFonts w:asciiTheme="minorHAnsi" w:hAnsiTheme="minorHAnsi" w:cs="Times New Roman"/>
          <w:sz w:val="23"/>
          <w:szCs w:val="23"/>
        </w:rPr>
      </w:pPr>
      <w:r w:rsidRPr="00220731">
        <w:rPr>
          <w:rFonts w:asciiTheme="minorHAnsi" w:hAnsiTheme="minorHAnsi" w:cs="Times New Roman"/>
          <w:sz w:val="23"/>
          <w:szCs w:val="23"/>
        </w:rPr>
        <w:t xml:space="preserve">Does the applicant have a plan to survey NSTI student graduates during their senior year in high school or final year in an alternative program to determine career or academic decisions made by the students? </w:t>
      </w:r>
    </w:p>
    <w:p w:rsidR="00D05AF8" w:rsidRPr="00220731" w:rsidRDefault="00D05AF8" w:rsidP="00D05AF8">
      <w:pPr>
        <w:pStyle w:val="Default"/>
        <w:numPr>
          <w:ilvl w:val="0"/>
          <w:numId w:val="6"/>
        </w:numPr>
        <w:spacing w:after="80"/>
        <w:rPr>
          <w:rFonts w:asciiTheme="minorHAnsi" w:hAnsiTheme="minorHAnsi" w:cs="Times New Roman"/>
          <w:sz w:val="23"/>
          <w:szCs w:val="23"/>
        </w:rPr>
      </w:pPr>
      <w:r w:rsidRPr="00220731">
        <w:rPr>
          <w:rFonts w:asciiTheme="minorHAnsi" w:hAnsiTheme="minorHAnsi" w:cs="Times New Roman"/>
          <w:sz w:val="23"/>
          <w:szCs w:val="23"/>
        </w:rPr>
        <w:t xml:space="preserve">Did the applicant submit an annual report by the designated due date? </w:t>
      </w:r>
    </w:p>
    <w:p w:rsidR="00D05AF8" w:rsidRPr="00220731" w:rsidRDefault="00D05AF8" w:rsidP="00D05AF8">
      <w:pPr>
        <w:pStyle w:val="Default"/>
        <w:numPr>
          <w:ilvl w:val="0"/>
          <w:numId w:val="6"/>
        </w:numPr>
        <w:spacing w:after="80"/>
        <w:rPr>
          <w:rFonts w:asciiTheme="minorHAnsi" w:hAnsiTheme="minorHAnsi" w:cs="Times New Roman"/>
          <w:sz w:val="23"/>
          <w:szCs w:val="23"/>
        </w:rPr>
      </w:pPr>
      <w:r w:rsidRPr="00220731">
        <w:rPr>
          <w:rFonts w:asciiTheme="minorHAnsi" w:hAnsiTheme="minorHAnsi" w:cs="Times New Roman"/>
          <w:sz w:val="23"/>
          <w:szCs w:val="23"/>
        </w:rPr>
        <w:t xml:space="preserve">Did the applicant employ sound fiscal management practices? </w:t>
      </w:r>
    </w:p>
    <w:p w:rsidR="00D05AF8" w:rsidRPr="00220731" w:rsidRDefault="00D05AF8" w:rsidP="00D05AF8">
      <w:pPr>
        <w:pStyle w:val="Default"/>
        <w:numPr>
          <w:ilvl w:val="0"/>
          <w:numId w:val="6"/>
        </w:numPr>
        <w:spacing w:after="80"/>
        <w:rPr>
          <w:rFonts w:asciiTheme="minorHAnsi" w:hAnsiTheme="minorHAnsi" w:cs="Times New Roman"/>
          <w:sz w:val="23"/>
          <w:szCs w:val="23"/>
        </w:rPr>
      </w:pPr>
      <w:r w:rsidRPr="00220731">
        <w:rPr>
          <w:rFonts w:asciiTheme="minorHAnsi" w:hAnsiTheme="minorHAnsi" w:cs="Times New Roman"/>
          <w:sz w:val="23"/>
          <w:szCs w:val="23"/>
        </w:rPr>
        <w:t xml:space="preserve">Did the applicant invoice promptly and provide supporting documentation necessary to execute payment of invoices? </w:t>
      </w:r>
    </w:p>
    <w:p w:rsidR="00D05AF8" w:rsidRPr="00220731" w:rsidRDefault="00D05AF8" w:rsidP="00D05AF8">
      <w:pPr>
        <w:pStyle w:val="Default"/>
        <w:numPr>
          <w:ilvl w:val="0"/>
          <w:numId w:val="6"/>
        </w:numPr>
        <w:rPr>
          <w:rFonts w:asciiTheme="minorHAnsi" w:hAnsiTheme="minorHAnsi" w:cs="Times New Roman"/>
          <w:sz w:val="23"/>
          <w:szCs w:val="23"/>
        </w:rPr>
      </w:pPr>
      <w:r w:rsidRPr="00220731">
        <w:rPr>
          <w:rFonts w:asciiTheme="minorHAnsi" w:hAnsiTheme="minorHAnsi" w:cs="Times New Roman"/>
          <w:sz w:val="23"/>
          <w:szCs w:val="23"/>
        </w:rPr>
        <w:t xml:space="preserve">Did the applicant expend account balances within 12 months? </w:t>
      </w:r>
    </w:p>
    <w:p w:rsidR="00D05AF8" w:rsidRPr="00220731" w:rsidRDefault="00D05AF8" w:rsidP="00D05AF8">
      <w:pPr>
        <w:pStyle w:val="Default"/>
        <w:rPr>
          <w:rFonts w:asciiTheme="minorHAnsi" w:hAnsiTheme="minorHAnsi" w:cs="Times New Roman"/>
          <w:sz w:val="23"/>
          <w:szCs w:val="23"/>
        </w:rPr>
      </w:pPr>
    </w:p>
    <w:sectPr w:rsidR="00D05AF8" w:rsidRPr="002207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6B" w:rsidRDefault="0059366B" w:rsidP="0059366B">
      <w:pPr>
        <w:spacing w:after="0" w:line="240" w:lineRule="auto"/>
      </w:pPr>
      <w:r>
        <w:separator/>
      </w:r>
    </w:p>
  </w:endnote>
  <w:endnote w:type="continuationSeparator" w:id="0">
    <w:p w:rsidR="0059366B" w:rsidRDefault="0059366B" w:rsidP="0059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26877"/>
      <w:docPartObj>
        <w:docPartGallery w:val="Page Numbers (Bottom of Page)"/>
        <w:docPartUnique/>
      </w:docPartObj>
    </w:sdtPr>
    <w:sdtEndPr>
      <w:rPr>
        <w:noProof/>
      </w:rPr>
    </w:sdtEndPr>
    <w:sdtContent>
      <w:p w:rsidR="0059366B" w:rsidRDefault="00400890">
        <w:pPr>
          <w:pStyle w:val="Footer"/>
          <w:jc w:val="right"/>
        </w:pPr>
        <w:r>
          <w:t xml:space="preserve">Page </w:t>
        </w:r>
        <w:r w:rsidR="0059366B">
          <w:fldChar w:fldCharType="begin"/>
        </w:r>
        <w:r w:rsidR="0059366B">
          <w:instrText xml:space="preserve"> PAGE   \* MERGEFORMAT </w:instrText>
        </w:r>
        <w:r w:rsidR="0059366B">
          <w:fldChar w:fldCharType="separate"/>
        </w:r>
        <w:r w:rsidR="00CC391F">
          <w:rPr>
            <w:noProof/>
          </w:rPr>
          <w:t>1</w:t>
        </w:r>
        <w:r w:rsidR="0059366B">
          <w:rPr>
            <w:noProof/>
          </w:rPr>
          <w:fldChar w:fldCharType="end"/>
        </w:r>
        <w:r>
          <w:rPr>
            <w:noProof/>
          </w:rPr>
          <w:t xml:space="preserve"> of 2</w:t>
        </w:r>
      </w:p>
    </w:sdtContent>
  </w:sdt>
  <w:p w:rsidR="0059366B" w:rsidRDefault="0059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6B" w:rsidRDefault="0059366B" w:rsidP="0059366B">
      <w:pPr>
        <w:spacing w:after="0" w:line="240" w:lineRule="auto"/>
      </w:pPr>
      <w:r>
        <w:separator/>
      </w:r>
    </w:p>
  </w:footnote>
  <w:footnote w:type="continuationSeparator" w:id="0">
    <w:p w:rsidR="0059366B" w:rsidRDefault="0059366B" w:rsidP="00593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A5"/>
    <w:multiLevelType w:val="hybridMultilevel"/>
    <w:tmpl w:val="178CA6B0"/>
    <w:lvl w:ilvl="0" w:tplc="D9367D9A">
      <w:start w:val="1"/>
      <w:numFmt w:val="bullet"/>
      <w:lvlText w:val=""/>
      <w:lvlJc w:val="left"/>
      <w:pPr>
        <w:ind w:left="720" w:hanging="360"/>
      </w:pPr>
      <w:rPr>
        <w:rFonts w:ascii="Wingdings" w:hAnsi="Wingdings" w:hint="default"/>
      </w:rPr>
    </w:lvl>
    <w:lvl w:ilvl="1" w:tplc="94EA5082">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A03"/>
    <w:multiLevelType w:val="hybridMultilevel"/>
    <w:tmpl w:val="97E6E2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370BEA"/>
    <w:multiLevelType w:val="hybridMultilevel"/>
    <w:tmpl w:val="A5624C5C"/>
    <w:lvl w:ilvl="0" w:tplc="D9367D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6A1E75"/>
    <w:multiLevelType w:val="hybridMultilevel"/>
    <w:tmpl w:val="6260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B2EEA"/>
    <w:multiLevelType w:val="hybridMultilevel"/>
    <w:tmpl w:val="298C3D70"/>
    <w:lvl w:ilvl="0" w:tplc="D9367D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41AA1"/>
    <w:multiLevelType w:val="hybridMultilevel"/>
    <w:tmpl w:val="0004F33A"/>
    <w:lvl w:ilvl="0" w:tplc="D22A2E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0"/>
    <w:rsid w:val="00212BE4"/>
    <w:rsid w:val="00215A53"/>
    <w:rsid w:val="00220731"/>
    <w:rsid w:val="002E455D"/>
    <w:rsid w:val="002E63C1"/>
    <w:rsid w:val="00400890"/>
    <w:rsid w:val="00484B14"/>
    <w:rsid w:val="0059366B"/>
    <w:rsid w:val="005B7E52"/>
    <w:rsid w:val="006D3D46"/>
    <w:rsid w:val="009F4540"/>
    <w:rsid w:val="00A431F7"/>
    <w:rsid w:val="00A7097D"/>
    <w:rsid w:val="00B16817"/>
    <w:rsid w:val="00C77AB5"/>
    <w:rsid w:val="00CC391F"/>
    <w:rsid w:val="00CD229A"/>
    <w:rsid w:val="00D05AF8"/>
    <w:rsid w:val="00E24732"/>
    <w:rsid w:val="00F86216"/>
    <w:rsid w:val="00F9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5FE95-E5D8-44E9-BFF9-D4B41E57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5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1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66B"/>
  </w:style>
  <w:style w:type="paragraph" w:styleId="Footer">
    <w:name w:val="footer"/>
    <w:basedOn w:val="Normal"/>
    <w:link w:val="FooterChar"/>
    <w:uiPriority w:val="99"/>
    <w:unhideWhenUsed/>
    <w:rsid w:val="0059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6B"/>
  </w:style>
  <w:style w:type="paragraph" w:styleId="BalloonText">
    <w:name w:val="Balloon Text"/>
    <w:basedOn w:val="Normal"/>
    <w:link w:val="BalloonTextChar"/>
    <w:uiPriority w:val="99"/>
    <w:semiHidden/>
    <w:unhideWhenUsed/>
    <w:rsid w:val="002E6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C1"/>
    <w:rPr>
      <w:rFonts w:ascii="Segoe UI" w:hAnsi="Segoe UI" w:cs="Segoe UI"/>
      <w:sz w:val="18"/>
      <w:szCs w:val="18"/>
    </w:rPr>
  </w:style>
  <w:style w:type="character" w:styleId="Hyperlink">
    <w:name w:val="Hyperlink"/>
    <w:basedOn w:val="DefaultParagraphFont"/>
    <w:uiPriority w:val="99"/>
    <w:unhideWhenUsed/>
    <w:rsid w:val="002E4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933BA4962F74DB3FFB2D586574FCE" ma:contentTypeVersion="1" ma:contentTypeDescription="Create a new document." ma:contentTypeScope="" ma:versionID="accb4df7748c764aa1f16388d02acb71">
  <xsd:schema xmlns:xsd="http://www.w3.org/2001/XMLSchema" xmlns:xs="http://www.w3.org/2001/XMLSchema" xmlns:p="http://schemas.microsoft.com/office/2006/metadata/properties" xmlns:ns1="http://schemas.microsoft.com/sharepoint/v3" targetNamespace="http://schemas.microsoft.com/office/2006/metadata/properties" ma:root="true" ma:fieldsID="0fe31041c8c587c5088ea17495bbefd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18B9C-C571-447C-8BD5-484B3571CF36}">
  <ds:schemaRef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5C8411-86D9-41E4-A5F9-7FD03E47519D}"/>
</file>

<file path=customXml/itemProps3.xml><?xml version="1.0" encoding="utf-8"?>
<ds:datastoreItem xmlns:ds="http://schemas.openxmlformats.org/officeDocument/2006/customXml" ds:itemID="{4D7F65E9-31C1-4BB5-8A05-8F674FC28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Host Application Checklist NTSI 2016</vt:lpstr>
    </vt:vector>
  </TitlesOfParts>
  <Company>Ohio Dept. of Transportation</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Application Checklist NTSI 2016</dc:title>
  <dc:subject/>
  <dc:creator>Paul Pegher</dc:creator>
  <cp:keywords/>
  <dc:description/>
  <cp:lastModifiedBy>Mica Wulfhorst</cp:lastModifiedBy>
  <cp:revision>8</cp:revision>
  <cp:lastPrinted>2016-10-26T16:57:00Z</cp:lastPrinted>
  <dcterms:created xsi:type="dcterms:W3CDTF">2016-10-26T16:23:00Z</dcterms:created>
  <dcterms:modified xsi:type="dcterms:W3CDTF">2016-10-26T18:48:00Z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0x010100DF7933BA4962F74DB3FFB2D586574FCE</vt:lpwstr>
  </property>
</Properties>
</file>